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2B7A" w14:textId="77777777" w:rsidR="004E2DBB" w:rsidRPr="00400966" w:rsidRDefault="004E2DBB" w:rsidP="004E2DBB">
      <w:pPr>
        <w:spacing w:after="120" w:line="240" w:lineRule="auto"/>
        <w:outlineLvl w:val="1"/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cs/>
          <w14:ligatures w14:val="none"/>
        </w:rPr>
        <w:t>แนวทางการสอบสวนและการรวบรวมพยานหลักฐานใน</w:t>
      </w:r>
      <w:r w:rsidR="008165CC"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cs/>
          <w14:ligatures w14:val="none"/>
        </w:rPr>
        <w:t>คดีความผิดตามกฎหมายว่าด้วยการประกอบธุรกิจของคนต่างด้าว</w:t>
      </w:r>
    </w:p>
    <w:p w14:paraId="0388DD30" w14:textId="77777777" w:rsidR="0047287F" w:rsidRPr="00400966" w:rsidRDefault="0047287F" w:rsidP="00400966">
      <w:pPr>
        <w:spacing w:after="0" w:line="240" w:lineRule="auto"/>
        <w:jc w:val="right"/>
        <w:outlineLvl w:val="1"/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cs/>
          <w14:ligatures w14:val="none"/>
        </w:rPr>
        <w:tab/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cs/>
          <w14:ligatures w14:val="none"/>
        </w:rPr>
        <w:tab/>
        <w:t>นางสาวรัศมี ศรีสว่าง</w:t>
      </w:r>
    </w:p>
    <w:p w14:paraId="349A2333" w14:textId="77777777" w:rsidR="0047287F" w:rsidRPr="00400966" w:rsidRDefault="0047287F" w:rsidP="0047287F">
      <w:pPr>
        <w:spacing w:after="120" w:line="240" w:lineRule="auto"/>
        <w:jc w:val="right"/>
        <w:outlineLvl w:val="1"/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cs/>
          <w14:ligatures w14:val="none"/>
        </w:rPr>
        <w:t>พนักงานสอบสวนคดีพิเศษชำนาญการพิเศษ</w:t>
      </w:r>
    </w:p>
    <w:p w14:paraId="18452E2D" w14:textId="29DDDA4A" w:rsidR="008165CC" w:rsidRPr="00400966" w:rsidRDefault="004E2DBB" w:rsidP="000253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การประกอบธุรกิจของคนต่างด้าวในประเทศไทยนับเป็นปัจจัยสำคัญในการขับเคลื่อนเศรษฐกิจ แต่ก็เป็นประเด็นที่ต้องได้รับการกำกับดูแลอย่างเข้มงวดเพื่อป้องกันการกระทำที่อาจส่งผลกระทบต่อผลประโยชน์ของชาติ โดยเฉพาะอย่างยิ่งการหลีกเลี่ยงข้อจำกัดภายใต้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พระราชบัญญัติการประกอบธุรกิจของคนต่างด้าว พ.ศ. </w:t>
      </w:r>
      <w:r w:rsidR="002B237E">
        <w:rPr>
          <w:rFonts w:ascii="TH SarabunPSK" w:eastAsia="Times New Roman" w:hAnsi="TH SarabunPSK" w:cs="TH SarabunPSK" w:hint="cs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๒๕๔๒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คดีลักษณะนี้มีความซับซ้อนสูง เนื่องจากเกี่ยวข้องกับกฎหมายหลายฉบับ เช่น ประมวลกฎหมายอาญา กฎหมายภาษีอากร กฎหมายที่ดินและกฎหมายฟอกเงิน การสอบสวนจึงมุ่งเน้นการค้นหาความจริงเกี่ยวกับโครงสร้างการถือหุ้น การควบคุมกิจการ และแหล่งที่มาของเงินทุน เพื่อพิสูจน์เจตนาและพฤติกรรมอำพรางอันมิชอบ วัตถุประสงค์หลักของการสอบสวนคือการรวบรวมพยานหลักฐานเพื่อพิสูจน์การกระทำความผิด ระบุตัวผู้กระทำทั้งนิติบุคคลและบุคคลธรรมดา ติดตามอายัดทรัพย์สินที่ได้มาจากการกระทำผิด และท้ายที่สุดคือการป้องกันการกระทำความผิดซ้ำเพื่อสร้างบรรทัดฐานที่โปร่งใสในการลงทุน</w:t>
      </w:r>
      <w:r w:rsidRPr="00EA6CE1">
        <w:rPr>
          <w:rStyle w:val="FootnoteReference"/>
          <w:rFonts w:ascii="TH SarabunIT๙" w:eastAsia="Times New Roman" w:hAnsi="TH SarabunIT๙" w:cs="TH SarabunIT๙"/>
          <w:color w:val="1B1C1D"/>
          <w:kern w:val="0"/>
          <w:sz w:val="32"/>
          <w:szCs w:val="32"/>
          <w14:ligatures w14:val="none"/>
        </w:rPr>
        <w:footnoteReference w:id="1"/>
      </w:r>
      <w:r w:rsidR="00025318" w:rsidRPr="00EA6CE1">
        <w:rPr>
          <w:rFonts w:ascii="TH SarabunIT๙" w:eastAsia="Times New Roman" w:hAnsi="TH SarabunIT๙" w:cs="TH SarabunIT๙"/>
          <w:color w:val="1B1C1D"/>
          <w:kern w:val="0"/>
          <w:sz w:val="32"/>
          <w:szCs w:val="32"/>
          <w:cs/>
          <w14:ligatures w14:val="none"/>
        </w:rPr>
        <w:t xml:space="preserve"> </w:t>
      </w:r>
      <w:r w:rsidR="00025318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สำหรับ</w:t>
      </w:r>
      <w:r w:rsidR="00FF1471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กรมสอบสวนคดีพิเศษ </w:t>
      </w:r>
      <w:r w:rsidR="00025318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ซึ่ง</w:t>
      </w:r>
      <w:r w:rsidR="00FF1471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มีภารกิจสำคัญในการสืบสวนสอบสวนคดีพิเศษที่มีความซับซ้อน เกี่ยวข้องกับอาชญากรรมข้ามชาติ อาชญากรรมทางเศรษฐกิจขนาดใหญ่ และคดีที่ส่งผลกระทบต่อความมั่นคงของชาติ รวมถึงคดีความผิด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ตามกฎหมายว่าด้วยการประกอบธุรกิจของคนต่างด้าว</w:t>
      </w:r>
      <w:r w:rsidR="00FF1471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ด้วย โดย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บัญชีท้ายประกาศ กคพ. (ฉบับที่ ๘) พ.ศ. ๒๕๖๕ เรื่อง กำหนดรายละเอียดของลักษณะของการกระทำความผิดที่เป็นคดีพิเศษตามมาตรา ๒๑ วรรคหนึ่ง (๑) แห่งพระราชบัญญัติการสอบสวน</w:t>
      </w:r>
      <w:r w:rsidR="00400966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 xml:space="preserve"> 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คดีพิเศษ พ.ศ. ๒๕๔๗ ข้อ (๑๖) กำหนดลักษณะคดีความผิดตามกฎหมายว่าด้วยการประกอบธุรกิจของคนต่างด้าวที่อยู่ในอำนาจการสอบสวนของกรมสอบสวนคดีพิเศษไว้ว่า “คดีความผิดที่มีบทกำหนดโทษตามมาตรา ๓๔ มาตรา ๓๕ มาตรา ๓๖ มาตรา ๓๗ มาตรา ๓๘ และมาตรา ๔๑ แห่งพระราชบัญญัติการประกอบธุรกิจของคนต่างด้าว พ.ศ.๒๕๔๒ ที่เป็นการกล่าวหานิติบุคคลหรือคนต่างด้าวซึ่งมีสินทรัพย์ตามงบแสดงฐานะการเงินรวมกันตั้งแต่</w:t>
      </w:r>
      <w:r w:rsidR="00400966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 xml:space="preserve">    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หนึ่งร้อยล้านบาทขึ้นไป” </w:t>
      </w:r>
    </w:p>
    <w:p w14:paraId="3109353D" w14:textId="6F45452C" w:rsidR="00025318" w:rsidRPr="00400966" w:rsidRDefault="003E5582" w:rsidP="000253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966">
        <w:rPr>
          <w:rFonts w:ascii="TH SarabunPSK" w:hAnsi="TH SarabunPSK" w:cs="TH SarabunPSK"/>
          <w:sz w:val="32"/>
          <w:szCs w:val="32"/>
          <w:cs/>
        </w:rPr>
        <w:t xml:space="preserve">การสอบสวนคดีพิเศษในคดีความผิดตามกฎหมายว่าด้วยการประกอบธุรกิจของคนต่างด้าว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เริ่มต้นรวบรวมพยานหลักฐานจาก</w:t>
      </w:r>
      <w:r w:rsidRPr="0040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การแสวงหาข้อมูลเบื้องต้นจากแหล่ง</w:t>
      </w:r>
      <w:r w:rsidRPr="00400966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เปิดและหน่วยงานภาครัฐ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โดยมีเป้าหมายเพื่อ</w:t>
      </w:r>
      <w:r w:rsidRPr="00400966">
        <w:rPr>
          <w:rFonts w:ascii="TH SarabunPSK" w:hAnsi="TH SarabunPSK" w:cs="TH SarabunPSK"/>
          <w:sz w:val="32"/>
          <w:szCs w:val="32"/>
          <w:cs/>
        </w:rPr>
        <w:t>เห็น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ภาพรวมของธุรกิจที่กำลังถูกตรวจสอบ ข้อมูลจาก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กรมพัฒนาธุรกิจการค้า</w:t>
      </w:r>
      <w:r w:rsidR="00AA197C" w:rsidRPr="00EA6CE1">
        <w:rPr>
          <w:rStyle w:val="FootnoteReference"/>
          <w:rFonts w:ascii="TH SarabunIT๙" w:hAnsi="TH SarabunIT๙" w:cs="TH SarabunIT๙"/>
          <w:b/>
          <w:bCs/>
          <w:sz w:val="32"/>
          <w:szCs w:val="32"/>
          <w:cs/>
        </w:rPr>
        <w:footnoteReference w:id="2"/>
      </w:r>
      <w:r w:rsidR="00025318" w:rsidRPr="00EA6CE1">
        <w:rPr>
          <w:rFonts w:ascii="TH SarabunIT๙" w:hAnsi="TH SarabunIT๙" w:cs="TH SarabunIT๙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เช่น หนังสือบริคณห์สนธิ รายชื่อผู้ถือหุ้น งบการเงิน และรายงานการประชุม ถือเป็นหัวใจสำคัญในการตรวจสอบโครงสร้างองค์กรและความสัมพันธ์ระหว่างผู้ถือหุ้นและกรรมการบริษัท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ข้อมูลจากกรมสรรพากร</w:t>
      </w:r>
      <w:r w:rsidR="00AA197C" w:rsidRPr="00EA6CE1">
        <w:rPr>
          <w:rStyle w:val="FootnoteReference"/>
          <w:rFonts w:ascii="TH SarabunIT๙" w:hAnsi="TH SarabunIT๙" w:cs="TH SarabunIT๙"/>
          <w:b/>
          <w:bCs/>
          <w:sz w:val="32"/>
          <w:szCs w:val="32"/>
          <w:cs/>
        </w:rPr>
        <w:footnoteReference w:id="3"/>
      </w:r>
      <w:r w:rsidR="00025318" w:rsidRPr="00EA6CE1">
        <w:rPr>
          <w:rFonts w:ascii="TH SarabunIT๙" w:hAnsi="TH SarabunIT๙" w:cs="TH SarabunIT๙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เช่น ทะเบียนภาษีมูลค่าเพิ่ม (ภ.พ.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20)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รายงานภาษีซื้อ-ภาษีขาย จะช่วยยืนยันการดำเนินกิจการที่แท้จริงและปริมาณธุรกรรม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lastRenderedPageBreak/>
        <w:t>ทางการเงินที่เกิดขึ้น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สำนักงานตรวจคนเข้าเมือง</w:t>
      </w:r>
      <w:r w:rsidR="00AA197C" w:rsidRPr="00EA6CE1">
        <w:rPr>
          <w:rStyle w:val="FootnoteReference"/>
          <w:rFonts w:ascii="TH SarabunIT๙" w:hAnsi="TH SarabunIT๙" w:cs="TH SarabunIT๙"/>
          <w:b/>
          <w:bCs/>
          <w:sz w:val="32"/>
          <w:szCs w:val="32"/>
          <w:cs/>
        </w:rPr>
        <w:footnoteReference w:id="4"/>
      </w:r>
      <w:r w:rsidR="00AA197C" w:rsidRPr="004009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สามารถให้ข้อมูลการเข้าออกประเทศของบุคคลต่างด้าวที่เกี่ยวข้อง ซึ่งอาจบ่งชี้ถึงการควบคุมหรือการบริห</w:t>
      </w:r>
      <w:r w:rsidRPr="00400966">
        <w:rPr>
          <w:rFonts w:ascii="TH SarabunPSK" w:hAnsi="TH SarabunPSK" w:cs="TH SarabunPSK"/>
          <w:sz w:val="32"/>
          <w:szCs w:val="32"/>
          <w:cs/>
        </w:rPr>
        <w:t>า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รจัดการกิจการโดยคนต่างด้าวได้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ส่วน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กรมที่ดิน</w:t>
      </w:r>
      <w:r w:rsidR="00AA197C" w:rsidRPr="00EA6CE1">
        <w:rPr>
          <w:rStyle w:val="FootnoteReference"/>
          <w:rFonts w:ascii="TH SarabunIT๙" w:hAnsi="TH SarabunIT๙" w:cs="TH SarabunIT๙"/>
          <w:b/>
          <w:bCs/>
          <w:sz w:val="32"/>
          <w:szCs w:val="32"/>
          <w:cs/>
        </w:rPr>
        <w:footnoteReference w:id="5"/>
      </w:r>
      <w:r w:rsidR="00AA197C" w:rsidRPr="00EA6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จะ</w:t>
      </w:r>
      <w:r w:rsidRPr="00400966">
        <w:rPr>
          <w:rFonts w:ascii="TH SarabunPSK" w:hAnsi="TH SarabunPSK" w:cs="TH SarabunPSK"/>
          <w:sz w:val="32"/>
          <w:szCs w:val="32"/>
          <w:cs/>
        </w:rPr>
        <w:t>เป็นการตรวจสอบ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ข้อมูลการถือครองอสังหาริมทรัพย์ของบริษัทหรือบุคคลที่เกี่ยวข้อง ซึ่ง</w:t>
      </w:r>
      <w:r w:rsidRPr="00400966">
        <w:rPr>
          <w:rFonts w:ascii="TH SarabunPSK" w:hAnsi="TH SarabunPSK" w:cs="TH SarabunPSK"/>
          <w:sz w:val="32"/>
          <w:szCs w:val="32"/>
          <w:cs/>
        </w:rPr>
        <w:t>ปัจจุบันคดีประเภทนี้ คนต่างด้าวที่ต้องการครอบครองอสังหาริมทรัพย์ในประเทศไทย มักใช้วิธีการเปิดบริษัทและจ้างคนไทยมาถือหุ้นแทน</w:t>
      </w:r>
      <w:r w:rsidR="00D4514D" w:rsidRPr="00400966">
        <w:rPr>
          <w:rFonts w:ascii="TH SarabunPSK" w:hAnsi="TH SarabunPSK" w:cs="TH SarabunPSK"/>
          <w:sz w:val="32"/>
          <w:szCs w:val="32"/>
          <w:cs/>
        </w:rPr>
        <w:t>ให้ถูกกฎหมาย จากนั้น</w:t>
      </w:r>
      <w:r w:rsidRPr="0040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514D" w:rsidRPr="00400966">
        <w:rPr>
          <w:rFonts w:ascii="TH SarabunPSK" w:hAnsi="TH SarabunPSK" w:cs="TH SarabunPSK"/>
          <w:sz w:val="32"/>
          <w:szCs w:val="32"/>
          <w:cs/>
        </w:rPr>
        <w:t>จะใช้ชื่อบริษัทเข้า</w:t>
      </w:r>
      <w:r w:rsidRPr="00400966">
        <w:rPr>
          <w:rFonts w:ascii="TH SarabunPSK" w:hAnsi="TH SarabunPSK" w:cs="TH SarabunPSK"/>
          <w:sz w:val="32"/>
          <w:szCs w:val="32"/>
          <w:cs/>
        </w:rPr>
        <w:t>ซื้อที่ดินและสิ่งปลูกสร้าง</w:t>
      </w:r>
      <w:r w:rsidR="00D4514D" w:rsidRPr="00400966">
        <w:rPr>
          <w:rFonts w:ascii="TH SarabunPSK" w:hAnsi="TH SarabunPSK" w:cs="TH SarabunPSK"/>
          <w:sz w:val="32"/>
          <w:szCs w:val="32"/>
          <w:cs/>
        </w:rPr>
        <w:t xml:space="preserve"> โดยเงินที่ซื้อที่ดินก็มาจากคนต่างด้าวเองมิใช่เงินลงทุนของบริษัทแต่อย่างใด </w:t>
      </w:r>
      <w:r w:rsidR="00400966">
        <w:rPr>
          <w:rFonts w:ascii="TH SarabunPSK" w:hAnsi="TH SarabunPSK" w:cs="TH SarabunPSK" w:hint="cs"/>
          <w:sz w:val="32"/>
          <w:szCs w:val="32"/>
          <w:cs/>
        </w:rPr>
        <w:t>ข้อมูลจาก</w:t>
      </w:r>
      <w:r w:rsidR="00400966" w:rsidRPr="0040096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สำนักงานจัดหางานจังหวัด</w:t>
      </w:r>
      <w:r w:rsidR="00EA6CE1" w:rsidRPr="00EA6CE1">
        <w:rPr>
          <w:rStyle w:val="FootnoteReference"/>
          <w:rFonts w:ascii="TH SarabunIT๙" w:hAnsi="TH SarabunIT๙" w:cs="TH SarabunIT๙"/>
          <w:b/>
          <w:bCs/>
          <w:sz w:val="32"/>
          <w:szCs w:val="32"/>
          <w:cs/>
        </w:rPr>
        <w:footnoteReference w:id="6"/>
      </w:r>
      <w:r w:rsidR="00400966" w:rsidRPr="00EA6C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6CE1">
        <w:rPr>
          <w:rFonts w:ascii="TH SarabunIT๙" w:hAnsi="TH SarabunIT๙" w:cs="TH SarabunIT๙" w:hint="cs"/>
          <w:sz w:val="32"/>
          <w:szCs w:val="32"/>
          <w:cs/>
        </w:rPr>
        <w:t xml:space="preserve">กรมการจัดหางาน </w:t>
      </w:r>
      <w:r w:rsidR="0040096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00966" w:rsidRPr="00400966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40096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00966" w:rsidRPr="00400966">
        <w:rPr>
          <w:rFonts w:ascii="TH SarabunPSK" w:hAnsi="TH SarabunPSK" w:cs="TH SarabunPSK"/>
          <w:sz w:val="32"/>
          <w:szCs w:val="32"/>
          <w:cs/>
        </w:rPr>
        <w:t xml:space="preserve">ขออนุญาตทำงานของคนต่างด้าว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ข้อมูลจาก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ธนาคารพาณิชย์และสถาบันการเงิน</w:t>
      </w:r>
      <w:r w:rsidR="00AA197C" w:rsidRPr="00EA6CE1">
        <w:rPr>
          <w:rStyle w:val="FootnoteReference"/>
          <w:rFonts w:ascii="TH SarabunIT๙" w:hAnsi="TH SarabunIT๙" w:cs="TH SarabunIT๙"/>
          <w:b/>
          <w:bCs/>
          <w:sz w:val="32"/>
          <w:szCs w:val="32"/>
          <w:cs/>
        </w:rPr>
        <w:footnoteReference w:id="7"/>
      </w:r>
      <w:r w:rsidR="00AA197C" w:rsidRPr="00EA6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ที่เกี่ยวข้องกับบัญชีของบริษัทหรือบุคคลที่ต้องสงสัยจะช่วยให้เห็นเส้นทางการเงินที่ผิดปกติ รวมถึงแหล่งที่มาของเงินทุนที่อาจมาจากต่างประเทศหรือมีลักษณะการไหลเวียนที่น่าสงสัย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การร้องเรียนจากสาธารณะหรือข้อมูลจากสื่อต่างๆ ก็สามารถเป็นจุดเริ่มต้นที่ดีในการตรวจสอบข้อเท็จจริงเบื้องต้นได้เช่นกัน</w:t>
      </w:r>
    </w:p>
    <w:p w14:paraId="494C242D" w14:textId="77777777" w:rsidR="00AA197C" w:rsidRPr="00400966" w:rsidRDefault="00AA197C" w:rsidP="000253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hAnsi="TH SarabunPSK" w:cs="TH SarabunPSK"/>
          <w:sz w:val="32"/>
          <w:szCs w:val="32"/>
          <w:cs/>
        </w:rPr>
        <w:t>หลังจากได้ข้อมูลเบื้องต้นแล้ว การดำเนินการขั้นต่อไปคือ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b/>
          <w:bCs/>
          <w:sz w:val="32"/>
          <w:szCs w:val="32"/>
          <w:cs/>
        </w:rPr>
        <w:t>การรวบรวมพยานเอกสารอย่างเป็นระบบ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sz w:val="32"/>
          <w:szCs w:val="32"/>
          <w:cs/>
        </w:rPr>
        <w:t>เอกสารที่สำคัญลำดับแรกคือ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เอกสารการจดทะเบียนนิติบุคคล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sz w:val="32"/>
          <w:szCs w:val="32"/>
          <w:cs/>
        </w:rPr>
        <w:t>ทุกฉบับ ตั้งแต่การจัดตั้ง การเปลี่ยนแปลงข้อมูล ไปจนถึงงบการเงินและรายงานของผู้สอบบัญชี ซึ่งจะเปิดเผยความสัมพันธ์ระหว่างผู้ถือหุ้น กรรมการ และผู้มีอำนาจลงนาม รวมถึงการเปลี่ยนแปลงโครงสร้างผู้ถือหุ้นที่อาจบ่งชี้ถึงการอำพราง</w:t>
      </w:r>
      <w:r w:rsidRPr="00EA6CE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8"/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b/>
          <w:bCs/>
          <w:sz w:val="32"/>
          <w:szCs w:val="32"/>
          <w:cs/>
        </w:rPr>
        <w:t>เอกสารธุรกรรมทางการเงิน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sz w:val="32"/>
          <w:szCs w:val="32"/>
          <w:cs/>
        </w:rPr>
        <w:t>เป็นพยานหลักฐานสำคัญลำดับต่อมา ซึ่งรวมถึงสมุดบัญชีเงินฝาก รายการเดินบัญชี (</w:t>
      </w:r>
      <w:r w:rsidRPr="00400966">
        <w:rPr>
          <w:rFonts w:ascii="TH SarabunPSK" w:hAnsi="TH SarabunPSK" w:cs="TH SarabunPSK"/>
          <w:sz w:val="32"/>
          <w:szCs w:val="32"/>
        </w:rPr>
        <w:t xml:space="preserve">Bank Statement) </w:t>
      </w:r>
      <w:r w:rsidRPr="00400966">
        <w:rPr>
          <w:rFonts w:ascii="TH SarabunPSK" w:hAnsi="TH SarabunPSK" w:cs="TH SarabunPSK"/>
          <w:sz w:val="32"/>
          <w:szCs w:val="32"/>
          <w:cs/>
        </w:rPr>
        <w:t>ใบโอนเงิน สลิปการโอนเงิน สัญญาเงินกู้ และเอกสารการชำระเงินต่างๆ ทั้งหมดนี้จะช่วยให้พนักงานสอบสวนสามารถตรวจสอบแหล่งที่มาของเงินทุน เส้นทางการไหลเวียนของเงิน และความสัมพันธ์ทางการเงินระหว่างคนไทยและคนต่างด้าวที่อาจเป็นผู้กระทำความผิด</w:t>
      </w:r>
      <w:r w:rsidRPr="00EA6CE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9"/>
      </w:r>
      <w:r w:rsidRPr="00EA6C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0966">
        <w:rPr>
          <w:rFonts w:ascii="TH SarabunPSK" w:hAnsi="TH SarabunPSK" w:cs="TH SarabunPSK"/>
          <w:b/>
          <w:bCs/>
          <w:sz w:val="32"/>
          <w:szCs w:val="32"/>
          <w:cs/>
        </w:rPr>
        <w:t>เอกสารสัญญาต่างๆ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sz w:val="32"/>
          <w:szCs w:val="32"/>
          <w:cs/>
        </w:rPr>
        <w:t>เช่น สัญญาเช่า สัญญาซื้อขาย สัญญาบริการ และสัญญาจ้างงาน จะเปิดเผยลักษณะการประกอบธุรกิจที่แท้จริงและข้อตกลงระหว่างคู่สัญญาซึ่งอาจบ่งชี้ถึงการควบคุมกิจการโดยคนต่างด้าว</w:t>
      </w:r>
      <w:r w:rsidR="00C63D43" w:rsidRPr="00EA6CE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10"/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sz w:val="32"/>
          <w:szCs w:val="32"/>
          <w:cs/>
        </w:rPr>
        <w:t>และสุดท้าย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เอกสารการอนุญาตประกอบธุรกิจ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sz w:val="32"/>
          <w:szCs w:val="32"/>
          <w:cs/>
        </w:rPr>
        <w:t>ที่ออกโดยหน่วยงานภาครัฐต่างๆ เช่น ใบอนุญาตประกอบธุรกิจของคนต่างด้าว ใบอนุญาตประกอบกิจการโรงแรม หรือใบอนุญาตนำเที่ยว จะใช้ในการตรวจสอบการปฏิบัติตามเงื่อนไขการอนุญาต</w:t>
      </w:r>
    </w:p>
    <w:p w14:paraId="0914A2F9" w14:textId="5FB0DFBE" w:rsidR="004E2DBB" w:rsidRPr="00400966" w:rsidRDefault="004E2DBB" w:rsidP="004E2DB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นอกเหนือจากพยานเอกสารแล้ว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>พยานบุคคลและการสอบปากคำ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ถือเป็นหัวใจสำคัญในการรวบรวมข้อมูล โดยพนักงานสอบสวนต้องสอบปากคำบุคคลที่เกี่ยวข้องทั้งหมดอย่างละเอียดและบันทึกถ้อยคำไว้อย่างเป็นระบบ เพื่อใช้เป็นหลักฐานและพิสูจน์เจตนาของผู้กระทำความผิด</w:t>
      </w:r>
      <w:r w:rsidRPr="00EA6CE1">
        <w:rPr>
          <w:rStyle w:val="FootnoteReference"/>
          <w:rFonts w:ascii="TH SarabunIT๙" w:eastAsia="Times New Roman" w:hAnsi="TH SarabunIT๙" w:cs="TH SarabunIT๙"/>
          <w:color w:val="1B1C1D"/>
          <w:kern w:val="0"/>
          <w:sz w:val="32"/>
          <w:szCs w:val="32"/>
          <w:cs/>
          <w14:ligatures w14:val="none"/>
        </w:rPr>
        <w:footnoteReference w:id="11"/>
      </w:r>
      <w:r w:rsidRPr="00EA6CE1">
        <w:rPr>
          <w:rFonts w:ascii="TH SarabunIT๙" w:eastAsia="Times New Roman" w:hAnsi="TH SarabunIT๙" w:cs="TH SarabunIT๙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ขณะเดียวกัน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>พยานวัตถุและหลักฐานทางอิเล็กทรอนิกส์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มีบทบาทสำคัญอย่างยิ่งในยุคปัจจุบัน ไม่ว่าจะเป็นข้อมูลจากคอมพิวเตอร์ โทรศัพท์มือถือ อีเมล หรือแอปพลิเคชันสนทนา ซึ่งมักเป็นที่เก็บข้อมูลสำคัญที่สามารถเปิดเผยการกระทำความผิดหรือความสัมพันธ์ที่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lastRenderedPageBreak/>
        <w:t>ซับซ้อนได้</w:t>
      </w:r>
      <w:r w:rsidRPr="00EA6CE1">
        <w:rPr>
          <w:rStyle w:val="FootnoteReference"/>
          <w:rFonts w:ascii="TH SarabunIT๙" w:eastAsia="Times New Roman" w:hAnsi="TH SarabunIT๙" w:cs="TH SarabunIT๙"/>
          <w:color w:val="1B1C1D"/>
          <w:kern w:val="0"/>
          <w:sz w:val="32"/>
          <w:szCs w:val="32"/>
          <w:cs/>
          <w14:ligatures w14:val="none"/>
        </w:rPr>
        <w:footnoteReference w:id="12"/>
      </w:r>
      <w:r w:rsidRPr="00EA6CE1">
        <w:rPr>
          <w:rFonts w:ascii="TH SarabunIT๙" w:eastAsia="Times New Roman" w:hAnsi="TH SarabunIT๙" w:cs="TH SarabunIT๙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การตรวจยึดและเก็บรักษาหลักฐานทางดิจิทัลเหล่านี้ต้องดำเนินการโดยผู้เชี่ยวชาญและตามหลัก</w:t>
      </w:r>
      <w:r w:rsidR="00D4514D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  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นิติวิทยาศาสตร์ เพื่อความน่าเชื่อถือในการนำเสนอต่อศาล เมื่อรวบรวมพยานหลักฐานทั้งหมดแล้ว ขั้นตอนสำคัญคือการ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>วิเคราะห์และเชื่อมโยงพยานหลักฐาน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เพื่อสร้างภาพรวมของความผิด และที่สำคัญคือการ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>พิสูจน์เจตนา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ในการหลีกเลี่ยง</w:t>
      </w:r>
      <w:r w:rsidR="002B237E" w:rsidRPr="002B237E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พระราชบัญญัติการประกอบธุรกิจของคนต่างด้าว พ.ศ. </w:t>
      </w:r>
      <w:r w:rsidR="002B237E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 xml:space="preserve">๒๕๔๒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โดยการแสดงให้เห็นถึงความสัมพันธ์ที่แท้จริงหรือการใช้คนไทยเป็น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>Nominee</w:t>
      </w:r>
      <w:r w:rsidRPr="00EA6CE1">
        <w:rPr>
          <w:rStyle w:val="FootnoteReference"/>
          <w:rFonts w:ascii="TH SarabunIT๙" w:eastAsia="Times New Roman" w:hAnsi="TH SarabunIT๙" w:cs="TH SarabunIT๙"/>
          <w:color w:val="1B1C1D"/>
          <w:kern w:val="0"/>
          <w:sz w:val="32"/>
          <w:szCs w:val="32"/>
          <w14:ligatures w14:val="none"/>
        </w:rPr>
        <w:footnoteReference w:id="13"/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การวิเคราะห์เส้นทางการเงินอย่างละเอียดจะช่วยเปิดเผยการฟอกเงินหรือการเลี่ยงภาษีได้</w:t>
      </w:r>
      <w:r w:rsidRPr="00EA6CE1">
        <w:rPr>
          <w:rStyle w:val="FootnoteReference"/>
          <w:rFonts w:ascii="TH SarabunIT๙" w:eastAsia="Times New Roman" w:hAnsi="TH SarabunIT๙" w:cs="TH SarabunIT๙"/>
          <w:color w:val="1B1C1D"/>
          <w:kern w:val="0"/>
          <w:sz w:val="32"/>
          <w:szCs w:val="32"/>
          <w:cs/>
          <w14:ligatures w14:val="none"/>
        </w:rPr>
        <w:footnoteReference w:id="14"/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ในคดีที่ซับซ้อน อาจจำเป็นต้องอาศัย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>ผู้เชี่ยวชาญ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เช่น นักบัญชี หรือผู้เชี่ยวชาญด้านดิจิทัลฟอเรนซิก เพื่อช่วยวิเคราะห์พยานหลักฐานและให้ความเห็นทางเทคนิค สุดท้าย เมื่อมีพยานหลักฐานเพียงพอที่จะเชื่อได้ว่ามีการกระทำความผิดเกิดขึ้น จะเข้าสู่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>การดำเนินการทางกฎหมาย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ทั้งการแจ้งข้อกล่าวหา การออกหมายเรียกหรือหมายจับ การรวบรวมสำนวนสอบสวนส่งอัยการพิจารณาสั่งฟ้อง และการประสานงานกับหน่วยงานอย่าง ปปง. เพื่อติดตามอายัดทรัพย์สินที่ได้มาจากการกระทำความผิด ซึ่งทั้งหมดนี้มีเป้าหมายเพื่อนำผู้กระทำผิดมาลงโทษ ปกป้องผลประโยชน์ของชาติ และสร้างความเชื่อมั่นในบรรยากาศการลงทุนที่โปร่งใสในประเทศไทย</w:t>
      </w:r>
      <w:r w:rsidRPr="00EA6CE1">
        <w:rPr>
          <w:rStyle w:val="FootnoteReference"/>
          <w:rFonts w:ascii="TH SarabunIT๙" w:eastAsia="Times New Roman" w:hAnsi="TH SarabunIT๙" w:cs="TH SarabunIT๙"/>
          <w:color w:val="1B1C1D"/>
          <w:kern w:val="0"/>
          <w:sz w:val="32"/>
          <w:szCs w:val="32"/>
          <w:cs/>
          <w14:ligatures w14:val="none"/>
        </w:rPr>
        <w:footnoteReference w:id="15"/>
      </w:r>
      <w:r w:rsidR="004401D5" w:rsidRPr="00EA6CE1">
        <w:rPr>
          <w:rFonts w:ascii="TH SarabunIT๙" w:eastAsia="Times New Roman" w:hAnsi="TH SarabunIT๙" w:cs="TH SarabunIT๙"/>
          <w:color w:val="1B1C1D"/>
          <w:kern w:val="0"/>
          <w:sz w:val="32"/>
          <w:szCs w:val="32"/>
          <w:cs/>
          <w14:ligatures w14:val="none"/>
        </w:rPr>
        <w:t xml:space="preserve"> </w:t>
      </w:r>
    </w:p>
    <w:p w14:paraId="04372750" w14:textId="23AD6C2F" w:rsidR="00595268" w:rsidRPr="00400966" w:rsidRDefault="00595268" w:rsidP="0049680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สำหรับคดีความผิดตามกฎหมายว่าด้วยการประกอบธุรกิจของคนต่างด้าวที่ผู้เขียนได้รับมอบหมายให้รับผิดชอบสืบสวนสอบสวน ได้นำแนวทางการสอบสวนและการรวบรวมพยานหลักฐานในคดีดังกล่าวข้างต้นมาใช้ในการสอบสวนคดีพิเศษที่ ๑๕๘/๒๕๖๒ จนสามารถสรุปสำนวนเสนอต่อผู้บังคับบัญชาได้ โดยคดีพิเศษที่ ๑๕๘/๒๕๖๒</w:t>
      </w:r>
      <w:r w:rsidR="003A167E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 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จากการสอบสวนพบ</w:t>
      </w:r>
      <w:r w:rsidR="003A167E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กลุ่มผู้กระทำเป็นคนต่างด้าวที่มีเจตนา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ต้องการครอบครองอสังหาริมทรัพย์ในประเทศไทย โดยใช้วิธีการอำพรางการตรวจสอบจากเจ้าหน้าที่รัฐ ด้วยการ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>ยื่น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จดทะเบียนเป็นนิติบุคค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>ล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สัญชาติไทยกับกรมพัฒนาธุรกิจการค้า มีการเปิดบริษัทจำกัดในเครือข่ายเดียวกัน โดยใช้เงินทุนจากกลุ่มคนต่างด้าวกลุ่มเดียวกันเข้าถือหุ้นในลักษณะถือหุ้นไขว้ มีการกระจายการลงทุนผ่านหลายบริษัท แต่เมื่อพิสูจน์ข้อเท็จจริงแล้วพบว่า คนไทยที่ถูกนำชื่อ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>มาเป็น</w:t>
      </w:r>
      <w:r w:rsidR="00EA6CE1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ผู้ถือหุ้น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เพื่อให้มีจำนวนการถือครองหุ้นเกินกว่าร้อยละ ๕๐ นั้น ไม่มีเงินมากพอที่จะนำไปซื้อหุ้นจำนวนกว่า ๔๐ ล้านบาทได้เนื่องจากมีเพียงเงินเดือนที่ได้จากการเป็นพนักงานบริษัทเท่านั้น อีกทั้งยังพบว่า อำนาจทางการบริหารที่แท้จริงเป็นของกรรมการบริษัทและผู้ถือหุ้นต่างด้าว การกระท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>ำ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ดังกล่าวจึงถือเป็นการ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 xml:space="preserve">    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อำพรางเพื่อให้บริษัทฯ มีสัดส่วนการถือครองหุ้นของผู้ถือหุ้นคนไทยและผู้ถือหุ้นที่เป็นคนต่างด้าวชอบด้วยหลักเกณฑ์ตามพระราชบัญญัติการประกอบธุรกิจของคนต่างด้าว พ.ศ. ๒๕๔๒ จนสามารถประกอบธุรกิจบริการให้เช่าบ้านพักตากอากาศ ซึ่งการประกอบธุรกิจดังกล่าวถือเป็นธุรกิจบริการอื่น และเป็นธุรกิจที่คนไทยยังไม่มีความพร้อมที่จะแข่งขันในการประกอบกิจการกับคนต่างด้าว ตามที่กำหนดไว้ในพระราชบัญญัติการประกอบธุรกิจของคนต่างด้าว พ.ศ. ๒๕๔๒ มาตรา ๘ (๓) บัญชีท้ายพระราชบัญญัติการประกอบธุรกิจของคนต่างด้าว พ.ศ. ๒๕๔๒ บัญชีสาม (๒๑) คณะพนักงานสอบสวนคดีพิเศษจึงได้มีความเห็นทางคดีสั่งฟ้องผู้ต้องหาทั้งที่เป็นคนต่างด้าวและคนไทยรวม ๗ ราย ในความผิดฐานเป็นคนต่างด้าวรู้เห็นเป็นใจยินยอมให้ผู้มีสัญชาติไทยถือหุ้นแทนคนต่างด้าวใน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lastRenderedPageBreak/>
        <w:t>นิติบุคคล เพื่อให้คนต่างด้าวประกอบธุรกิจโดยหลีกเลี่ยงหรือฝ่าฝืนต่อกฎหมาย เป็นคนต่างด้าวร่วมกันประกอบธุรกิจที่คนไทยยังไม่มีความพร้อมที่จะแข่งขันในการประกอบกิจการกับคนต่างด้าว เป็นกรรมการหรือผู้มีอำนาจกระทำการแทนนิติบุคคลรู้เห็นเป็นใจในการกระทำผิดของนิติบุคคล ฐานเป็นผู้มีสัญชาติไทยให้ความช่วยเหลือ หรือสนับสนุน หรือถือหุ้นแทนคนต่างด้าวในบริษัทจำกัดเพื่อให้คนต่างด้าวประกอบธุรกิจโดยหลีกเลี่ยงหรือฝ่าฝืนต่อกฎหมาย ตามพระราชบัญญัติการประกอบธุรกิจของคนต่างด้าว พ.ศ. ๒๕๔๒ มาตรา ๔ มาตรา ๘ (๓) มาตรา ๓๖ มาตรา ๓๗ มาตรา ๔๑ ประกอบประมวลกฎหมายอาญา มาตรา ๘๓ มาตรา ๙๑ โดยพนักงานอัยการมีความเห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>็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นสั่งฟ้องตามฐานความผิดดังกล่าวด้วยเช่นเดียวกัน ต่อมา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ศาลอาญาได้มีคำพิพากษาลงโทษปรับจำเลยทั้งเจ็ด กระทงละ ๒๐๐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>,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๐๐๐ บาท รวม ๒ กระทง เป็นปรับจำเลยคนละ ๔๐๐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>,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๐๐๐ บาท ให้จำเลยที่เป็นนิติบุคคลเลิกการประกอบธุรกิจหรือเลิกกิจการตามฟ้อง และให้จำเลยซึ่งเป็นบุคคลธรรมดาเลิ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>ก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การให้ความช่วยเหลือหรือสนับสนุนหรือเลิกการเป็นผู้ถือหุ้นในกิจการตามฟ้อง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นอกจากนี้ ผลจากคำพิพากษายังส่งผลให้บริษัทฯ ผู้ต้องหา 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ซึ่งมีสถานะ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เป็นคนต่างด้าว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 จึงถือเป็นการ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ได้มาซึ่งที่ดินเพื่อประกอบกิจการในทางพาณิชยกรรม โดยไม่ได้รับอนุญาต ตามประมวลกฎหมายที่ดิน มาตรา ๘๖ ประกอบมาตรา ๘๗ จึงต้องดำเนินการตามประมวลกฎหมายที่ดิน มาตรา ๙๔ กล่าวคือ บรรดาที่ดินที่คนต่างด้าวได้มาโดยไม่ชอบด้วยกฎหมายหรือไม่ได้รับอนุญาต ให้คนต่างด้าวนั้นจัดการจำหน่ายที่ดินภายในระยะเวลาที่อธิบดีกรมที่ดินกำหนดให้ ถ้าไม่จำหน่ายที่ดินภายในเวลาที่กำหนด ให้อธิบดีกรมที่ดินมีอำนาจจำหน่ายที่ดินนั้น ทั้งนี้ ตามหนังสือกรมที่ดิน ด่วนที่สุด ที่ มท ๐๕๑๙/ว๗๖๐๐ ลงวันที่ ๗ มีนาคม ๒๕๔๗ และหนังสือกรมที่ดิน ที่ มท ๐๕๑๕/ว๐๔๗๐๕ ลงวันที่ ๑๔ กุมภาพันธ์ ๒๕๔๘ 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โดย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คณะพนักงานสอบสวนคดีพิเศษ ได้มีหนังสือแจ้งไปยังกรมที่ดินเพื่อให้ดำเนินการตามอำนาจหน้าที่ต่อไปแล้ว</w:t>
      </w:r>
    </w:p>
    <w:p w14:paraId="77BCEF03" w14:textId="5D31CDE8" w:rsidR="008165CC" w:rsidRPr="00400966" w:rsidRDefault="00496800" w:rsidP="004E2DB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จากกรณีคดีพิเศษตัวอย่างข้างต้นเห็นได้ว่า 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คดี</w:t>
      </w:r>
      <w:r w:rsidR="004401D5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ประเภท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นี้</w:t>
      </w:r>
      <w:r w:rsidR="004401D5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 ผู้กระทำผิด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มีพฤติการณ์ที่เปลี่ยนแปลงไปอย่างรวดเร็ว มีลักษณะเฉพาะที่ต้องอาศัยความเชี่ยวชาญเฉพาะด้าน และการบูรณาการข้อมูลจากหลายแหล่ง 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 xml:space="preserve">       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การพัฒนาระบบการสืบสวนสอบสวนให้มีประสิทธิภาพสูงสุดจึงเป็นสิ่งจำเป็นอย่างยิ่ง เพื่อให้กรมสอบสวนคดีพิเศษ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สามารถปฏิบัติภารกิจได้อย่างรวดเร็ว ถูกต้อง เป็นธรรม และเท่าทันต่อรูปแบบอาชญากรรมสมัยใหม่ที่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 xml:space="preserve">    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ทวีความซับซ้อนมากยิ่งขึ้น </w:t>
      </w:r>
      <w:r w:rsidR="00C63D43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และยัง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จะช่วยเสริมสร้างความน่าเชื่อถือและประสิทธิภาพในการบังคับใช้กฎหมายของประเทศในภาพรวมต่อไป.</w:t>
      </w:r>
    </w:p>
    <w:p w14:paraId="262A4E03" w14:textId="4B294DC1" w:rsidR="004E2DBB" w:rsidRPr="00400966" w:rsidRDefault="004E2DBB" w:rsidP="004E2DBB">
      <w:pPr>
        <w:spacing w:after="120" w:line="240" w:lineRule="auto"/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</w:pPr>
    </w:p>
    <w:p w14:paraId="3FFF8FBF" w14:textId="77777777" w:rsidR="004E2DBB" w:rsidRPr="00400966" w:rsidRDefault="004E2DBB">
      <w:pPr>
        <w:rPr>
          <w:rFonts w:ascii="TH SarabunPSK" w:hAnsi="TH SarabunPSK" w:cs="TH SarabunPSK"/>
          <w:sz w:val="32"/>
          <w:szCs w:val="32"/>
        </w:rPr>
      </w:pPr>
    </w:p>
    <w:sectPr w:rsidR="004E2DBB" w:rsidRPr="00400966" w:rsidSect="005E72DE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97A81" w14:textId="77777777" w:rsidR="00062E1E" w:rsidRDefault="00062E1E" w:rsidP="004E2DBB">
      <w:pPr>
        <w:spacing w:after="0" w:line="240" w:lineRule="auto"/>
      </w:pPr>
      <w:r>
        <w:separator/>
      </w:r>
    </w:p>
  </w:endnote>
  <w:endnote w:type="continuationSeparator" w:id="0">
    <w:p w14:paraId="123C908E" w14:textId="77777777" w:rsidR="00062E1E" w:rsidRDefault="00062E1E" w:rsidP="004E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F2656" w14:textId="77777777" w:rsidR="00062E1E" w:rsidRDefault="00062E1E" w:rsidP="004E2DBB">
      <w:pPr>
        <w:spacing w:after="0" w:line="240" w:lineRule="auto"/>
      </w:pPr>
      <w:r>
        <w:separator/>
      </w:r>
    </w:p>
  </w:footnote>
  <w:footnote w:type="continuationSeparator" w:id="0">
    <w:p w14:paraId="1E2DAB5E" w14:textId="77777777" w:rsidR="00062E1E" w:rsidRDefault="00062E1E" w:rsidP="004E2DBB">
      <w:pPr>
        <w:spacing w:after="0" w:line="240" w:lineRule="auto"/>
      </w:pPr>
      <w:r>
        <w:continuationSeparator/>
      </w:r>
    </w:p>
  </w:footnote>
  <w:footnote w:id="1">
    <w:p w14:paraId="5215AE2F" w14:textId="77777777" w:rsidR="004E2DBB" w:rsidRPr="0065534F" w:rsidRDefault="004E2DBB">
      <w:pPr>
        <w:pStyle w:val="FootnoteText"/>
        <w:rPr>
          <w:rFonts w:ascii="TH SarabunIT๙" w:hAnsi="TH SarabunIT๙" w:cs="TH SarabunIT๙"/>
          <w:sz w:val="28"/>
          <w:szCs w:val="28"/>
          <w:cs/>
        </w:rPr>
      </w:pPr>
      <w:r w:rsidRPr="0065534F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65534F">
        <w:rPr>
          <w:rFonts w:ascii="TH SarabunIT๙" w:hAnsi="TH SarabunIT๙" w:cs="TH SarabunIT๙"/>
          <w:sz w:val="28"/>
          <w:szCs w:val="28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พระราชบัญญัติการประกอบธุรกิจของคนต่างด้าว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2542;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ประมวลกฎหมายอาญา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;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ประมวลกฎหมายวิธีพิจารณาความอาญา</w:t>
      </w:r>
    </w:p>
  </w:footnote>
  <w:footnote w:id="2">
    <w:p w14:paraId="24C82FBF" w14:textId="77777777" w:rsidR="00AA197C" w:rsidRPr="00AA197C" w:rsidRDefault="00AA197C">
      <w:pPr>
        <w:pStyle w:val="FootnoteText"/>
        <w:rPr>
          <w:rFonts w:ascii="TH SarabunIT๙" w:hAnsi="TH SarabunIT๙" w:cs="TH SarabunIT๙"/>
          <w:cs/>
        </w:rPr>
      </w:pPr>
      <w:r w:rsidRPr="00AA197C">
        <w:rPr>
          <w:rStyle w:val="FootnoteReference"/>
          <w:rFonts w:ascii="TH SarabunIT๙" w:hAnsi="TH SarabunIT๙" w:cs="TH SarabunIT๙"/>
          <w:sz w:val="28"/>
          <w:szCs w:val="40"/>
        </w:rPr>
        <w:footnoteRef/>
      </w:r>
      <w:r w:rsidRPr="00AA197C">
        <w:rPr>
          <w:rFonts w:ascii="TH SarabunIT๙" w:hAnsi="TH SarabunIT๙" w:cs="TH SarabunIT๙"/>
          <w:sz w:val="28"/>
          <w:szCs w:val="40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กรมพัฒนาธุรกิจการค้า กระทรวงพาณิชย์. พระราชบัญญัติบริษัทมหาชนจำกัด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2535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และที่แก้ไขเพิ่มเติม และ ประมวลกฎหมายแพ่งและพาณิชย์ บรรพ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3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ลักษณะ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22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หุ้นส่วนและบริษัท.</w:t>
      </w:r>
    </w:p>
  </w:footnote>
  <w:footnote w:id="3">
    <w:p w14:paraId="2EDC70BA" w14:textId="77777777" w:rsidR="00AA197C" w:rsidRPr="00AA197C" w:rsidRDefault="00AA197C">
      <w:pPr>
        <w:pStyle w:val="FootnoteText"/>
        <w:rPr>
          <w:rFonts w:ascii="TH SarabunIT๙" w:hAnsi="TH SarabunIT๙" w:cs="TH SarabunIT๙"/>
          <w:cs/>
        </w:rPr>
      </w:pPr>
      <w:r w:rsidRPr="00AA197C">
        <w:rPr>
          <w:rStyle w:val="FootnoteReference"/>
          <w:rFonts w:ascii="TH SarabunIT๙" w:hAnsi="TH SarabunIT๙" w:cs="TH SarabunIT๙"/>
          <w:sz w:val="28"/>
          <w:szCs w:val="40"/>
        </w:rPr>
        <w:footnoteRef/>
      </w:r>
      <w:r w:rsidRPr="00AA197C">
        <w:rPr>
          <w:rFonts w:ascii="TH SarabunIT๙" w:hAnsi="TH SarabunIT๙" w:cs="TH SarabunIT๙"/>
          <w:sz w:val="28"/>
          <w:szCs w:val="40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กรมสรรพากร กระทรวงการคลัง. ประมวลรัษฎากร และ คำสั่งกรมสรรพากรที่ ป.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79/2541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เรื่อง การเสียภาษีเงินได้นิติบุคคลและภาษีมูลค่าเพิ่ม สำหรับการประกอบกิจการโดยคนต่างด้าว</w:t>
      </w:r>
    </w:p>
  </w:footnote>
  <w:footnote w:id="4">
    <w:p w14:paraId="1ED9AA8B" w14:textId="19D09E46" w:rsidR="00AA197C" w:rsidRPr="00D4514D" w:rsidRDefault="00AA197C" w:rsidP="00D4514D">
      <w:pPr>
        <w:pStyle w:val="FootnoteText"/>
        <w:rPr>
          <w:rFonts w:ascii="TH SarabunIT๙" w:hAnsi="TH SarabunIT๙" w:cs="TH SarabunIT๙"/>
          <w:sz w:val="28"/>
          <w:szCs w:val="28"/>
          <w:cs/>
        </w:rPr>
      </w:pPr>
      <w:r w:rsidRPr="00AA197C">
        <w:rPr>
          <w:rStyle w:val="FootnoteReference"/>
          <w:rFonts w:ascii="TH SarabunIT๙" w:hAnsi="TH SarabunIT๙" w:cs="TH SarabunIT๙"/>
          <w:sz w:val="28"/>
          <w:szCs w:val="40"/>
        </w:rPr>
        <w:footnoteRef/>
      </w:r>
      <w:r w:rsidRPr="00AA197C">
        <w:rPr>
          <w:rFonts w:ascii="TH SarabunIT๙" w:hAnsi="TH SarabunIT๙" w:cs="TH SarabunIT๙"/>
          <w:sz w:val="28"/>
          <w:szCs w:val="40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สำนักงานตรวจคนเข้าเมือง. พระราชบัญญัติคนเข้าเมือง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2522</w:t>
      </w:r>
    </w:p>
  </w:footnote>
  <w:footnote w:id="5">
    <w:p w14:paraId="1F704E52" w14:textId="77777777" w:rsidR="00AA197C" w:rsidRPr="00AA197C" w:rsidRDefault="00AA197C">
      <w:pPr>
        <w:pStyle w:val="FootnoteText"/>
        <w:rPr>
          <w:rFonts w:ascii="TH SarabunIT๙" w:hAnsi="TH SarabunIT๙" w:cs="TH SarabunIT๙"/>
          <w:sz w:val="28"/>
          <w:szCs w:val="28"/>
          <w:cs/>
        </w:rPr>
      </w:pPr>
      <w:r w:rsidRPr="00AA197C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AA197C">
        <w:rPr>
          <w:rFonts w:ascii="TH SarabunIT๙" w:hAnsi="TH SarabunIT๙" w:cs="TH SarabunIT๙"/>
          <w:sz w:val="28"/>
          <w:szCs w:val="28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กรมที่ดิน กระทรวงมหาดไทย. ประมวลกฎหมายที่ดิน</w:t>
      </w:r>
    </w:p>
  </w:footnote>
  <w:footnote w:id="6">
    <w:p w14:paraId="7F5DE990" w14:textId="71098A1C" w:rsidR="00EA6CE1" w:rsidRPr="00EA6CE1" w:rsidRDefault="00EA6CE1">
      <w:pPr>
        <w:pStyle w:val="FootnoteText"/>
        <w:rPr>
          <w:cs/>
        </w:rPr>
      </w:pPr>
      <w:r w:rsidRPr="00EA6CE1">
        <w:rPr>
          <w:rStyle w:val="FootnoteReference"/>
          <w:rFonts w:ascii="TH SarabunPSK" w:hAnsi="TH SarabunPSK" w:cs="TH SarabunPSK"/>
          <w:sz w:val="28"/>
          <w:szCs w:val="36"/>
        </w:rPr>
        <w:footnoteRef/>
      </w:r>
      <w:r>
        <w:t xml:space="preserve"> </w:t>
      </w:r>
      <w:r w:rsidRPr="00EA6CE1">
        <w:t>https://www.doe.go.th/prd/main/index?page=home</w:t>
      </w:r>
    </w:p>
  </w:footnote>
  <w:footnote w:id="7">
    <w:p w14:paraId="32795FA1" w14:textId="77777777" w:rsidR="00AA197C" w:rsidRPr="00AA197C" w:rsidRDefault="00AA197C">
      <w:pPr>
        <w:pStyle w:val="FootnoteText"/>
        <w:rPr>
          <w:cs/>
        </w:rPr>
      </w:pPr>
      <w:r w:rsidRPr="00AA197C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AA197C">
        <w:rPr>
          <w:rFonts w:ascii="TH SarabunIT๙" w:hAnsi="TH SarabunIT๙" w:cs="TH SarabunIT๙"/>
          <w:sz w:val="28"/>
          <w:szCs w:val="28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ธนาคารแห่งประเทศไทย. พระราชบัญญัติธนาคารพาณิชย์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2551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และ พระราชบัญญัติธุรกิจสถาบันการเงิน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2551</w:t>
      </w:r>
    </w:p>
  </w:footnote>
  <w:footnote w:id="8">
    <w:p w14:paraId="75567409" w14:textId="77777777" w:rsidR="00AA197C" w:rsidRDefault="00AA197C">
      <w:pPr>
        <w:pStyle w:val="FootnoteText"/>
        <w:rPr>
          <w:cs/>
        </w:rPr>
      </w:pPr>
      <w:r w:rsidRPr="00C63D43">
        <w:rPr>
          <w:rStyle w:val="FootnoteReference"/>
          <w:rFonts w:ascii="TH SarabunIT๙" w:hAnsi="TH SarabunIT๙" w:cs="TH SarabunIT๙"/>
          <w:sz w:val="28"/>
          <w:szCs w:val="40"/>
        </w:rPr>
        <w:footnoteRef/>
      </w:r>
      <w: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อ้างอิง [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2].</w:t>
      </w:r>
    </w:p>
  </w:footnote>
  <w:footnote w:id="9">
    <w:p w14:paraId="10AE613A" w14:textId="77777777" w:rsidR="00AA197C" w:rsidRPr="00AA197C" w:rsidRDefault="00AA197C">
      <w:pPr>
        <w:pStyle w:val="FootnoteText"/>
        <w:rPr>
          <w:rFonts w:ascii="TH SarabunIT๙" w:hAnsi="TH SarabunIT๙" w:cs="TH SarabunIT๙"/>
          <w:sz w:val="28"/>
          <w:szCs w:val="28"/>
          <w:cs/>
        </w:rPr>
      </w:pPr>
      <w:r w:rsidRPr="00AA197C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AA197C">
        <w:rPr>
          <w:rFonts w:ascii="TH SarabunIT๙" w:hAnsi="TH SarabunIT๙" w:cs="TH SarabunIT๙"/>
          <w:sz w:val="28"/>
          <w:szCs w:val="28"/>
        </w:rPr>
        <w:t xml:space="preserve"> </w:t>
      </w:r>
      <w:r w:rsidR="00C63D43"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อ้างอิง [</w:t>
      </w:r>
      <w:r w:rsidR="00C63D43"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6] </w:t>
      </w:r>
      <w:r w:rsidR="00C63D43"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และพระราชบัญญัติป้องกันและปราบปรามการฟอกเงิน พ.ศ. </w:t>
      </w:r>
      <w:r w:rsidR="00C63D43"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2542</w:t>
      </w:r>
    </w:p>
  </w:footnote>
  <w:footnote w:id="10">
    <w:p w14:paraId="0CD4AD8A" w14:textId="77777777" w:rsidR="00C63D43" w:rsidRDefault="00C63D43">
      <w:pPr>
        <w:pStyle w:val="FootnoteText"/>
        <w:rPr>
          <w:cs/>
        </w:rPr>
      </w:pPr>
      <w:r w:rsidRPr="00C63D43">
        <w:rPr>
          <w:rStyle w:val="FootnoteReference"/>
          <w:rFonts w:ascii="TH SarabunIT๙" w:hAnsi="TH SarabunIT๙" w:cs="TH SarabunIT๙"/>
          <w:sz w:val="28"/>
          <w:szCs w:val="40"/>
        </w:rPr>
        <w:footnoteRef/>
      </w:r>
      <w:r w:rsidRPr="00C63D43">
        <w:rPr>
          <w:rFonts w:ascii="TH SarabunIT๙" w:hAnsi="TH SarabunIT๙" w:cs="TH SarabunIT๙"/>
          <w:sz w:val="28"/>
          <w:szCs w:val="40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ประมวลกฎหมายแพ่งและพาณิชย์ บรรพ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3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ลักษณะ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1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นิติกรรม.</w:t>
      </w:r>
    </w:p>
  </w:footnote>
  <w:footnote w:id="11">
    <w:p w14:paraId="561234D7" w14:textId="77777777" w:rsidR="004E2DBB" w:rsidRPr="0065534F" w:rsidRDefault="004E2DBB">
      <w:pPr>
        <w:pStyle w:val="FootnoteText"/>
        <w:rPr>
          <w:rFonts w:ascii="TH SarabunIT๙" w:hAnsi="TH SarabunIT๙" w:cs="TH SarabunIT๙"/>
          <w:sz w:val="18"/>
          <w:szCs w:val="24"/>
          <w:cs/>
        </w:rPr>
      </w:pPr>
      <w:r w:rsidRPr="0065534F">
        <w:rPr>
          <w:rStyle w:val="FootnoteReference"/>
          <w:rFonts w:ascii="TH SarabunIT๙" w:hAnsi="TH SarabunIT๙" w:cs="TH SarabunIT๙"/>
        </w:rPr>
        <w:footnoteRef/>
      </w:r>
      <w:r w:rsidRPr="0065534F">
        <w:rPr>
          <w:rFonts w:ascii="TH SarabunIT๙" w:hAnsi="TH SarabunIT๙" w:cs="TH SarabunIT๙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ประมวลกฎหมายวิธีพิจารณาความอาญา มาตรา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134, 134/1 </w:t>
      </w:r>
    </w:p>
  </w:footnote>
  <w:footnote w:id="12">
    <w:p w14:paraId="1381EE4E" w14:textId="77777777" w:rsidR="004E2DBB" w:rsidRPr="0065534F" w:rsidRDefault="004E2DBB">
      <w:pPr>
        <w:pStyle w:val="FootnoteText"/>
        <w:rPr>
          <w:rFonts w:ascii="TH SarabunIT๙" w:hAnsi="TH SarabunIT๙" w:cs="TH SarabunIT๙"/>
          <w:sz w:val="18"/>
          <w:szCs w:val="24"/>
          <w:cs/>
        </w:rPr>
      </w:pPr>
      <w:r w:rsidRPr="0065534F">
        <w:rPr>
          <w:rStyle w:val="FootnoteReference"/>
          <w:rFonts w:ascii="TH SarabunIT๙" w:hAnsi="TH SarabunIT๙" w:cs="TH SarabunIT๙"/>
        </w:rPr>
        <w:footnoteRef/>
      </w:r>
      <w:r w:rsidRPr="0065534F">
        <w:rPr>
          <w:rFonts w:ascii="TH SarabunIT๙" w:hAnsi="TH SarabunIT๙" w:cs="TH SarabunIT๙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พระราชบัญญัติว่าด้วยการกระทำความผิดเกี่ยวกับคอมพิวเตอร์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2550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และที่แก้ไขเพิ่มเติม และ ประมวลกฎหมายวิธีพิจารณาความอาญา มาตรา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224/1</w:t>
      </w:r>
    </w:p>
  </w:footnote>
  <w:footnote w:id="13">
    <w:p w14:paraId="7A9FE3C6" w14:textId="77777777" w:rsidR="004E2DBB" w:rsidRPr="0065534F" w:rsidRDefault="004E2DBB">
      <w:pPr>
        <w:pStyle w:val="FootnoteText"/>
        <w:rPr>
          <w:rFonts w:ascii="TH SarabunIT๙" w:hAnsi="TH SarabunIT๙" w:cs="TH SarabunIT๙"/>
          <w:cs/>
        </w:rPr>
      </w:pPr>
      <w:r w:rsidRPr="0065534F">
        <w:rPr>
          <w:rStyle w:val="FootnoteReference"/>
          <w:rFonts w:ascii="TH SarabunIT๙" w:hAnsi="TH SarabunIT๙" w:cs="TH SarabunIT๙"/>
        </w:rPr>
        <w:footnoteRef/>
      </w:r>
      <w:r w:rsidRPr="0065534F">
        <w:rPr>
          <w:rFonts w:ascii="TH SarabunIT๙" w:hAnsi="TH SarabunIT๙" w:cs="TH SarabunIT๙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พระราชบัญญัติการประกอบธุรกิจของคนต่างด้าว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2542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มาตรา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4, 11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และ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36.</w:t>
      </w:r>
    </w:p>
  </w:footnote>
  <w:footnote w:id="14">
    <w:p w14:paraId="62F22108" w14:textId="77777777" w:rsidR="004E2DBB" w:rsidRPr="0065534F" w:rsidRDefault="004E2DBB">
      <w:pPr>
        <w:pStyle w:val="FootnoteText"/>
        <w:rPr>
          <w:rFonts w:ascii="TH SarabunIT๙" w:hAnsi="TH SarabunIT๙" w:cs="TH SarabunIT๙"/>
          <w:sz w:val="18"/>
          <w:szCs w:val="24"/>
          <w:cs/>
        </w:rPr>
      </w:pPr>
      <w:r w:rsidRPr="0065534F">
        <w:rPr>
          <w:rStyle w:val="FootnoteReference"/>
          <w:rFonts w:ascii="TH SarabunIT๙" w:hAnsi="TH SarabunIT๙" w:cs="TH SarabunIT๙"/>
        </w:rPr>
        <w:footnoteRef/>
      </w:r>
      <w:r w:rsidRPr="0065534F">
        <w:rPr>
          <w:rFonts w:ascii="TH SarabunIT๙" w:hAnsi="TH SarabunIT๙" w:cs="TH SarabunIT๙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อ้างอิง [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8].</w:t>
      </w:r>
    </w:p>
  </w:footnote>
  <w:footnote w:id="15">
    <w:p w14:paraId="7DEA24B7" w14:textId="77777777" w:rsidR="004E2DBB" w:rsidRPr="004E2DBB" w:rsidRDefault="004E2DBB" w:rsidP="004E2DBB">
      <w:pPr>
        <w:snapToGrid w:val="0"/>
        <w:spacing w:after="0" w:line="240" w:lineRule="auto"/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</w:pPr>
      <w:r w:rsidRPr="0065534F">
        <w:rPr>
          <w:rStyle w:val="FootnoteReference"/>
          <w:rFonts w:ascii="TH SarabunIT๙" w:hAnsi="TH SarabunIT๙" w:cs="TH SarabunIT๙"/>
          <w:sz w:val="22"/>
          <w:szCs w:val="28"/>
        </w:rPr>
        <w:footnoteRef/>
      </w:r>
      <w:r w:rsidRPr="0065534F">
        <w:rPr>
          <w:rFonts w:ascii="TH SarabunIT๙" w:hAnsi="TH SarabunIT๙" w:cs="TH SarabunIT๙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ประมวลกฎหมายวิธีพิจารณาความอาญา มาตรา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140, 142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และ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143.</w:t>
      </w:r>
    </w:p>
    <w:p w14:paraId="1A8F8781" w14:textId="77777777" w:rsidR="004E2DBB" w:rsidRPr="0065534F" w:rsidRDefault="004E2DBB">
      <w:pPr>
        <w:pStyle w:val="FootnoteText"/>
        <w:rPr>
          <w:rFonts w:ascii="TH SarabunIT๙" w:hAnsi="TH SarabunIT๙" w:cs="TH SarabunIT๙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133714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0E94A07E" w14:textId="32512BFE" w:rsidR="005E72DE" w:rsidRPr="005E72DE" w:rsidRDefault="005E72DE">
        <w:pPr>
          <w:pStyle w:val="Header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5E72DE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5E72DE">
          <w:rPr>
            <w:rFonts w:ascii="TH SarabunIT๙" w:hAnsi="TH SarabunIT๙" w:cs="TH SarabunIT๙"/>
            <w:sz w:val="32"/>
            <w:szCs w:val="36"/>
          </w:rPr>
          <w:instrText xml:space="preserve"> PAGE   \* MERGEFORMAT </w:instrText>
        </w:r>
        <w:r w:rsidRPr="005E72DE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5E72DE">
          <w:rPr>
            <w:rFonts w:ascii="TH SarabunIT๙" w:hAnsi="TH SarabunIT๙" w:cs="TH SarabunIT๙"/>
            <w:noProof/>
            <w:sz w:val="32"/>
            <w:szCs w:val="36"/>
          </w:rPr>
          <w:t>2</w:t>
        </w:r>
        <w:r w:rsidRPr="005E72DE">
          <w:rPr>
            <w:rFonts w:ascii="TH SarabunIT๙" w:hAnsi="TH SarabunIT๙" w:cs="TH SarabunIT๙"/>
            <w:noProof/>
            <w:sz w:val="32"/>
            <w:szCs w:val="36"/>
          </w:rPr>
          <w:fldChar w:fldCharType="end"/>
        </w:r>
      </w:p>
    </w:sdtContent>
  </w:sdt>
  <w:p w14:paraId="4B5BAE99" w14:textId="77777777" w:rsidR="005E72DE" w:rsidRDefault="005E7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BB"/>
    <w:rsid w:val="0000040A"/>
    <w:rsid w:val="00025318"/>
    <w:rsid w:val="00062E1E"/>
    <w:rsid w:val="0019720F"/>
    <w:rsid w:val="00213C8C"/>
    <w:rsid w:val="002B237E"/>
    <w:rsid w:val="003A167E"/>
    <w:rsid w:val="003E5582"/>
    <w:rsid w:val="00400966"/>
    <w:rsid w:val="004401D5"/>
    <w:rsid w:val="0047287F"/>
    <w:rsid w:val="00496800"/>
    <w:rsid w:val="004E2DBB"/>
    <w:rsid w:val="00536437"/>
    <w:rsid w:val="00595268"/>
    <w:rsid w:val="005E72DE"/>
    <w:rsid w:val="0065534F"/>
    <w:rsid w:val="007C3EF7"/>
    <w:rsid w:val="008165CC"/>
    <w:rsid w:val="00AA197C"/>
    <w:rsid w:val="00BF4166"/>
    <w:rsid w:val="00C63D43"/>
    <w:rsid w:val="00D4514D"/>
    <w:rsid w:val="00D72184"/>
    <w:rsid w:val="00E42DB2"/>
    <w:rsid w:val="00EA6CE1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CD40"/>
  <w15:chartTrackingRefBased/>
  <w15:docId w15:val="{81F2F0A9-2712-5B49-BAFE-127C7A60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D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D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DB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4E2DB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E2DB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D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D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E2DB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E2DB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E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DBB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D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DBB"/>
    <w:rPr>
      <w:rFonts w:cs="Angsana New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DB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2DB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DBB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E2D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7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2D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5E7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DE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5E6BFD-C5AF-2644-9A33-CE9EF099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kungrsm kungrsm</dc:creator>
  <cp:keywords/>
  <dc:description/>
  <cp:lastModifiedBy>Dsi365_107</cp:lastModifiedBy>
  <cp:revision>11</cp:revision>
  <cp:lastPrinted>2025-07-14T00:14:00Z</cp:lastPrinted>
  <dcterms:created xsi:type="dcterms:W3CDTF">2025-07-13T08:24:00Z</dcterms:created>
  <dcterms:modified xsi:type="dcterms:W3CDTF">2025-07-16T02:37:00Z</dcterms:modified>
</cp:coreProperties>
</file>